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70DA" w14:textId="77777777" w:rsidR="007B78D5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517775166"/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โครงสร้างรายวิชานาฏศิลป์ 1  (ศ 21103)</w:t>
      </w:r>
    </w:p>
    <w:p w14:paraId="0C6E564E" w14:textId="77777777" w:rsidR="007B78D5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1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7FF1B298" w14:textId="48CF542F" w:rsidR="007B78D5" w:rsidRDefault="007B78D5" w:rsidP="007B78D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7B78D5" w14:paraId="21EFF93B" w14:textId="77777777" w:rsidTr="00952D6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D5D43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76CFD0D7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8BD1E7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8003FE5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9FF7C6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7FF160FC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229FA0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4D52B589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0B1EA2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33333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B78D5" w14:paraId="1F6A094C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0DC6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2764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ประเภทของละครไทย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0597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38A9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บรรยายประเภทของละครไทย ในแต่ละยุคสมัย</w:t>
            </w:r>
          </w:p>
          <w:p w14:paraId="3FAF9E2F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5567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3292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B78D5" w14:paraId="65667CAB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5EA2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4545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และละคร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86F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1E23DEED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F134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รูปแบบการแสดงนาฏศิลป์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และระบุปัจจัยที่มีผลต่อการเปลี่ยนแปลงของนาฏศิลป์และละคร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4030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6BA6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B78D5" w14:paraId="68D879A9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A342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ED78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นาฏยศัพท์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1446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88B1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การใช้นาฏยศัพท์หรือศัพท์ทางการละคร  ภาษาท่าที่แสดงสื่อทางอารมณ์และการตีบท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7D0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D22A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B78D5" w14:paraId="231C3F9E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3185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8F17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อิทธิพลของนักแสดง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1BAF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B023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อธิบายอิทธิพลของนักแสดงที่มีผลต่อการโน้มน้าวอารมณ์หรือความคิดของผู้ชม การปฏิบัติของผู้แสดงและผู้ชม การพัฒนารูปแบบของการแสดง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04F6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0777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B78D5" w14:paraId="0EB47B32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4CA5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0AEA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การผลิต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cs/>
              </w:rPr>
              <w:t>การแสดง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9CF5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36B4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การทำงานเป็นกลุ่ม  ในกระบวนการสร้างสรรค์ผลิตการแสดที่สนใจ  โดยแบ่งฝ่ายและหน้าที่ให้ชัดเจน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6C0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F6F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B78D5" w14:paraId="6ED30E32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E6C9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7AA6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หลักในการชมการแสดง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ECAD" w14:textId="77777777" w:rsidR="007B78D5" w:rsidRDefault="007B78D5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6F6E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highlight w:val="white"/>
                <w:cs/>
              </w:rPr>
              <w:t>ใช้เกณฑ์ง่าย ๆ ที่กำหนดให้ในการพิจารณาคุณภาพการแสดง</w:t>
            </w:r>
            <w:r>
              <w:rPr>
                <w:rFonts w:ascii="TH SarabunPSK" w:hAnsi="TH SarabunPSK" w:cs="TH SarabunPSK"/>
                <w:snapToGrid w:val="0"/>
                <w:sz w:val="32"/>
                <w:szCs w:val="32"/>
                <w:highlight w:val="white"/>
                <w:cs/>
              </w:rPr>
              <w:t>ที่ชมโดยเน้นเรื่องการใช้เสียงการแสดงท่า  และการเคลื่อนไหว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850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9760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B78D5" w14:paraId="2810DE21" w14:textId="77777777" w:rsidTr="00952D6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D48994" w14:textId="77777777" w:rsidR="007B78D5" w:rsidRDefault="007B78D5" w:rsidP="00952D6E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AEBE85" w14:textId="77777777" w:rsidR="007B78D5" w:rsidRDefault="007B78D5" w:rsidP="00952D6E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CFC04B" w14:textId="77777777" w:rsidR="007B78D5" w:rsidRDefault="007B78D5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  <w:bookmarkEnd w:id="0"/>
      </w:tr>
    </w:tbl>
    <w:p w14:paraId="5902A9BE" w14:textId="77777777" w:rsidR="007B78D5" w:rsidRDefault="007B78D5"/>
    <w:sectPr w:rsidR="007B78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D5"/>
    <w:rsid w:val="007B78D5"/>
    <w:rsid w:val="00D941E5"/>
    <w:rsid w:val="00D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2D21"/>
  <w15:chartTrackingRefBased/>
  <w15:docId w15:val="{6DA7FEC1-9F04-4085-A495-A41C0C03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D5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78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8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8D5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8D5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8D5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8D5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8D5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8D5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8D5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78D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78D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78D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78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78D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78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78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78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78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7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B78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78D5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78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78D5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B7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8D5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B78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78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7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2025-06-08T05:49:00Z</dcterms:created>
  <dcterms:modified xsi:type="dcterms:W3CDTF">2025-06-08T05:49:00Z</dcterms:modified>
</cp:coreProperties>
</file>